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黑体" w:hAnsi="黑体" w:eastAsia="黑体" w:cs="黑体"/>
          <w:b/>
          <w:bCs/>
          <w:color w:val="auto"/>
          <w:sz w:val="22"/>
          <w:szCs w:val="22"/>
          <w:lang w:val="en-US" w:eastAsia="zh-CN"/>
        </w:rPr>
      </w:pPr>
      <w:bookmarkStart w:id="0" w:name="_GoBack"/>
      <w:bookmarkEnd w:id="0"/>
      <w:r>
        <w:rPr>
          <w:rFonts w:hint="eastAsia" w:ascii="宋体" w:hAnsi="宋体" w:eastAsia="宋体" w:cs="宋体"/>
          <w:b/>
          <w:bCs/>
          <w:sz w:val="21"/>
          <w:szCs w:val="21"/>
        </w:rPr>
        <w:t>综合评分明细表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24"/>
          <w:szCs w:val="24"/>
          <w:lang w:val="en-US" w:eastAsia="zh-CN"/>
        </w:rPr>
      </w:pPr>
    </w:p>
    <w:tbl>
      <w:tblPr>
        <w:tblStyle w:val="4"/>
        <w:tblW w:w="970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2"/>
        <w:gridCol w:w="546"/>
        <w:gridCol w:w="632"/>
        <w:gridCol w:w="5199"/>
        <w:gridCol w:w="25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序号</w:t>
            </w: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评审项</w:t>
            </w:r>
          </w:p>
        </w:tc>
        <w:tc>
          <w:tcPr>
            <w:tcW w:w="63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分值</w:t>
            </w:r>
          </w:p>
        </w:tc>
        <w:tc>
          <w:tcPr>
            <w:tcW w:w="51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详细描述</w:t>
            </w:r>
          </w:p>
        </w:tc>
        <w:tc>
          <w:tcPr>
            <w:tcW w:w="257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8"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cs="宋体" w:asciiTheme="minorEastAsia" w:hAnsiTheme="minorEastAsia" w:eastAsiaTheme="minorEastAsia"/>
                <w:sz w:val="21"/>
                <w:szCs w:val="21"/>
              </w:rPr>
              <w:t>报价</w:t>
            </w:r>
          </w:p>
        </w:tc>
        <w:tc>
          <w:tcPr>
            <w:tcW w:w="63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default" w:asciiTheme="minorEastAsia" w:hAnsiTheme="minorEastAsia" w:eastAsiaTheme="minorEastAsia"/>
                <w:sz w:val="21"/>
                <w:szCs w:val="21"/>
              </w:rPr>
              <w:t>0</w:t>
            </w:r>
          </w:p>
        </w:tc>
        <w:tc>
          <w:tcPr>
            <w:tcW w:w="5199" w:type="dxa"/>
            <w:vAlign w:val="center"/>
          </w:tcPr>
          <w:p>
            <w:pPr>
              <w:keepNext w:val="0"/>
              <w:keepLines w:val="0"/>
              <w:widowControl/>
              <w:suppressLineNumbers w:val="0"/>
              <w:autoSpaceDE w:val="0"/>
              <w:autoSpaceDN/>
              <w:spacing w:before="0" w:beforeAutospacing="0" w:after="0" w:afterAutospacing="0"/>
              <w:ind w:left="0" w:right="0" w:firstLine="360" w:firstLineChars="200"/>
              <w:jc w:val="left"/>
              <w:textAlignment w:val="center"/>
              <w:rPr>
                <w:rFonts w:hint="eastAsia" w:asciiTheme="minorEastAsia" w:hAnsiTheme="minorEastAsia" w:eastAsiaTheme="minorEastAsia"/>
                <w:sz w:val="21"/>
                <w:szCs w:val="20"/>
              </w:rPr>
            </w:pPr>
            <w:r>
              <w:rPr>
                <w:rFonts w:hint="eastAsia" w:ascii="微软雅黑" w:hAnsi="微软雅黑" w:eastAsia="微软雅黑" w:cs="微软雅黑"/>
                <w:i w:val="0"/>
                <w:iCs w:val="0"/>
                <w:kern w:val="0"/>
                <w:sz w:val="18"/>
                <w:szCs w:val="18"/>
                <w:lang w:val="en-US" w:eastAsia="zh-CN" w:bidi="ar"/>
              </w:rPr>
              <w:t>经评标委员会评审，通过资格审查和符合性审查，且投标报价最低的投标人的投标报价作为评标基准价，其价格分为满分。其他投标人的价格分统一按照下列公式计算：投标报价得分=(基准价／投标报价)×30</w:t>
            </w:r>
          </w:p>
        </w:tc>
        <w:tc>
          <w:tcPr>
            <w:tcW w:w="2573" w:type="dxa"/>
            <w:vAlign w:val="center"/>
          </w:tcPr>
          <w:p>
            <w:pPr>
              <w:keepNext w:val="0"/>
              <w:keepLines w:val="0"/>
              <w:widowControl/>
              <w:suppressLineNumbers w:val="0"/>
              <w:autoSpaceDE w:val="0"/>
              <w:autoSpaceDN/>
              <w:spacing w:before="0" w:beforeAutospacing="0" w:after="0" w:afterAutospacing="0"/>
              <w:ind w:left="0" w:right="0" w:firstLine="360" w:firstLineChars="200"/>
              <w:jc w:val="left"/>
              <w:textAlignment w:val="center"/>
              <w:rPr>
                <w:rFonts w:hint="eastAsia" w:ascii="微软雅黑" w:hAnsi="微软雅黑" w:eastAsia="微软雅黑" w:cs="微软雅黑"/>
                <w:i w:val="0"/>
                <w:iCs w:val="0"/>
                <w:kern w:val="0"/>
                <w:sz w:val="18"/>
                <w:szCs w:val="18"/>
                <w:lang w:val="en-US" w:eastAsia="zh-CN" w:bidi="ar"/>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技术参数</w:t>
            </w:r>
          </w:p>
        </w:tc>
        <w:tc>
          <w:tcPr>
            <w:tcW w:w="63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15</w:t>
            </w:r>
          </w:p>
        </w:tc>
        <w:tc>
          <w:tcPr>
            <w:tcW w:w="5199" w:type="dxa"/>
            <w:vAlign w:val="center"/>
          </w:tcPr>
          <w:p>
            <w:pPr>
              <w:keepNext w:val="0"/>
              <w:keepLines w:val="0"/>
              <w:widowControl/>
              <w:suppressLineNumbers w:val="0"/>
              <w:autoSpaceDE w:val="0"/>
              <w:autoSpaceDN/>
              <w:spacing w:before="0" w:beforeAutospacing="0" w:after="0" w:afterAutospacing="0"/>
              <w:ind w:right="0"/>
              <w:jc w:val="left"/>
              <w:textAlignment w:val="center"/>
              <w:rPr>
                <w:rFonts w:hint="eastAsia" w:asciiTheme="minorEastAsia" w:hAnsiTheme="minorEastAsia" w:eastAsiaTheme="minorEastAsia"/>
                <w:sz w:val="21"/>
                <w:szCs w:val="20"/>
              </w:rPr>
            </w:pPr>
            <w:r>
              <w:rPr>
                <w:rFonts w:hint="eastAsia" w:ascii="微软雅黑" w:hAnsi="微软雅黑" w:eastAsia="微软雅黑" w:cs="微软雅黑"/>
                <w:i w:val="0"/>
                <w:iCs w:val="0"/>
                <w:kern w:val="0"/>
                <w:sz w:val="18"/>
                <w:szCs w:val="18"/>
                <w:highlight w:val="none"/>
                <w:lang w:val="en-US" w:eastAsia="zh-CN" w:bidi="ar"/>
              </w:rPr>
              <w:t>起评分：技术参数要求中</w:t>
            </w:r>
            <w:r>
              <w:rPr>
                <w:rStyle w:val="6"/>
                <w:rFonts w:hint="eastAsia" w:ascii="微软雅黑" w:hAnsi="微软雅黑" w:eastAsia="微软雅黑" w:cs="微软雅黑"/>
                <w:kern w:val="2"/>
                <w:sz w:val="18"/>
                <w:szCs w:val="18"/>
                <w:highlight w:val="none"/>
                <w:lang w:val="en-US" w:eastAsia="zh-CN" w:bidi="ar"/>
              </w:rPr>
              <w:t>，全部响应满足得</w:t>
            </w:r>
            <w:r>
              <w:rPr>
                <w:rFonts w:hint="eastAsia" w:ascii="微软雅黑" w:hAnsi="微软雅黑" w:eastAsia="微软雅黑" w:cs="微软雅黑"/>
                <w:i w:val="0"/>
                <w:iCs w:val="0"/>
                <w:kern w:val="0"/>
                <w:sz w:val="18"/>
                <w:szCs w:val="18"/>
                <w:highlight w:val="none"/>
                <w:lang w:val="en-US" w:eastAsia="zh-CN" w:bidi="ar"/>
              </w:rPr>
              <w:t>起评分为</w:t>
            </w:r>
            <w:r>
              <w:rPr>
                <w:rStyle w:val="7"/>
                <w:rFonts w:hint="eastAsia" w:ascii="微软雅黑" w:hAnsi="微软雅黑" w:eastAsia="微软雅黑" w:cs="微软雅黑"/>
                <w:color w:val="auto"/>
                <w:kern w:val="2"/>
                <w:sz w:val="18"/>
                <w:szCs w:val="18"/>
                <w:highlight w:val="none"/>
                <w:lang w:val="en-US" w:eastAsia="zh-CN" w:bidi="ar"/>
              </w:rPr>
              <w:t>15</w:t>
            </w:r>
            <w:r>
              <w:rPr>
                <w:rStyle w:val="6"/>
                <w:rFonts w:hint="eastAsia" w:ascii="微软雅黑" w:hAnsi="微软雅黑" w:eastAsia="微软雅黑" w:cs="微软雅黑"/>
                <w:kern w:val="2"/>
                <w:sz w:val="18"/>
                <w:szCs w:val="18"/>
                <w:highlight w:val="none"/>
                <w:lang w:val="en-US" w:eastAsia="zh-CN" w:bidi="ar"/>
              </w:rPr>
              <w:t>分，有一条不满足起评投标文件投标应答或有一条不满足招标文件技术需求的从起评分中扣除</w:t>
            </w:r>
            <w:r>
              <w:rPr>
                <w:rStyle w:val="7"/>
                <w:rFonts w:hint="eastAsia" w:ascii="微软雅黑" w:hAnsi="微软雅黑" w:eastAsia="微软雅黑" w:cs="微软雅黑"/>
                <w:color w:val="auto"/>
                <w:kern w:val="2"/>
                <w:sz w:val="18"/>
                <w:szCs w:val="18"/>
                <w:highlight w:val="none"/>
                <w:lang w:val="en-US" w:eastAsia="zh-CN" w:bidi="ar"/>
              </w:rPr>
              <w:t>2</w:t>
            </w:r>
            <w:r>
              <w:rPr>
                <w:rStyle w:val="6"/>
                <w:rFonts w:hint="eastAsia" w:ascii="微软雅黑" w:hAnsi="微软雅黑" w:eastAsia="微软雅黑" w:cs="微软雅黑"/>
                <w:kern w:val="2"/>
                <w:sz w:val="18"/>
                <w:szCs w:val="18"/>
                <w:highlight w:val="none"/>
                <w:lang w:val="en-US" w:eastAsia="zh-CN" w:bidi="ar"/>
              </w:rPr>
              <w:t>分，扣完为止。</w:t>
            </w:r>
          </w:p>
        </w:tc>
        <w:tc>
          <w:tcPr>
            <w:tcW w:w="2573"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sz w:val="21"/>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13"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cs="宋体" w:asciiTheme="minorEastAsia" w:hAnsiTheme="minorEastAsia" w:eastAsiaTheme="minorEastAsia"/>
                <w:sz w:val="21"/>
                <w:szCs w:val="21"/>
              </w:rPr>
              <w:t>实施方案</w:t>
            </w:r>
          </w:p>
        </w:tc>
        <w:tc>
          <w:tcPr>
            <w:tcW w:w="63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20</w:t>
            </w:r>
          </w:p>
        </w:tc>
        <w:tc>
          <w:tcPr>
            <w:tcW w:w="5199" w:type="dxa"/>
            <w:vAlign w:val="center"/>
          </w:tcPr>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项目实施方案，内容包含：</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1.实施计划（包括供货周期）；</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2.人员组织；</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3.风险管控；</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4.安装调试；</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5.安全保障等内容。</w:t>
            </w:r>
          </w:p>
          <w:p>
            <w:pPr>
              <w:keepNext w:val="0"/>
              <w:keepLines w:val="0"/>
              <w:widowControl w:val="0"/>
              <w:suppressLineNumbers w:val="0"/>
              <w:spacing w:before="0" w:beforeAutospacing="0" w:after="0" w:afterAutospacing="0"/>
              <w:ind w:left="0" w:leftChars="0" w:right="0" w:firstLine="0" w:firstLineChars="0"/>
              <w:jc w:val="both"/>
              <w:rPr>
                <w:rFonts w:hint="eastAsia" w:asciiTheme="minorEastAsia" w:hAnsiTheme="minorEastAsia" w:eastAsiaTheme="minorEastAsia"/>
                <w:sz w:val="21"/>
                <w:szCs w:val="20"/>
              </w:rPr>
            </w:pPr>
            <w:r>
              <w:rPr>
                <w:rFonts w:hint="eastAsia" w:ascii="微软雅黑" w:hAnsi="微软雅黑" w:eastAsia="微软雅黑" w:cs="微软雅黑"/>
                <w:color w:val="000000"/>
                <w:kern w:val="2"/>
                <w:sz w:val="18"/>
                <w:szCs w:val="18"/>
                <w:lang w:val="en-US" w:eastAsia="zh-CN" w:bidi="ar"/>
              </w:rPr>
              <w:t>以上方案内容不存在瑕疵得20分；方案内容存在1处瑕疵得10分；方案内容存在2处瑕疵得5分；方案内容存在3处瑕疵得1分；方案内容存在4处及以上瑕疵，或未提供方案，得0分。</w:t>
            </w:r>
          </w:p>
        </w:tc>
        <w:tc>
          <w:tcPr>
            <w:tcW w:w="2573" w:type="dxa"/>
            <w:vMerge w:val="restart"/>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1.提供相关方案（格式自定）</w:t>
            </w:r>
          </w:p>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2.本项内容中所称的“瑕疵”指下列5种情形中的任一种情形：</w:t>
            </w:r>
          </w:p>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1）方案内容缺项；或不符合实际使用，内容表述不完整</w:t>
            </w:r>
          </w:p>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2）缺乏科学合理性，内容存在逻辑漏洞或常识错误；</w:t>
            </w:r>
          </w:p>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3）服务承诺并不适用本项目特性；</w:t>
            </w:r>
          </w:p>
          <w:p>
            <w:pPr>
              <w:keepNext w:val="0"/>
              <w:keepLines w:val="0"/>
              <w:widowControl w:val="0"/>
              <w:suppressLineNumbers w:val="0"/>
              <w:spacing w:before="0" w:beforeAutospacing="0" w:after="0" w:afterAutospacing="0"/>
              <w:ind w:left="0" w:leftChars="0" w:right="0" w:firstLine="0" w:firstLineChars="0"/>
              <w:jc w:val="both"/>
              <w:rPr>
                <w:rFonts w:hint="eastAsia" w:ascii="微软雅黑" w:hAnsi="微软雅黑" w:eastAsia="微软雅黑" w:cs="微软雅黑"/>
                <w:color w:val="000000"/>
                <w:kern w:val="2"/>
                <w:sz w:val="18"/>
                <w:szCs w:val="18"/>
                <w:lang w:val="en-US" w:eastAsia="zh-CN" w:bidi="ar"/>
              </w:rPr>
            </w:pPr>
            <w:r>
              <w:rPr>
                <w:rFonts w:hint="eastAsia" w:ascii="微软雅黑" w:hAnsi="微软雅黑" w:eastAsia="微软雅黑" w:cs="微软雅黑"/>
                <w:color w:val="000000"/>
                <w:kern w:val="2"/>
                <w:sz w:val="18"/>
                <w:szCs w:val="18"/>
                <w:lang w:val="en-US" w:eastAsia="zh-CN" w:bidi="ar"/>
              </w:rPr>
              <w:t>4）方案中提出的措施举措不利于本项目目标的实现；</w:t>
            </w:r>
          </w:p>
          <w:p>
            <w:pPr>
              <w:keepNext w:val="0"/>
              <w:keepLines w:val="0"/>
              <w:widowControl w:val="0"/>
              <w:suppressLineNumbers w:val="0"/>
              <w:spacing w:before="0" w:beforeAutospacing="0" w:after="0" w:afterAutospacing="0"/>
              <w:ind w:left="0" w:leftChars="0" w:right="0" w:firstLine="0" w:firstLineChars="0"/>
              <w:jc w:val="both"/>
              <w:rPr>
                <w:rFonts w:hint="eastAsia" w:asciiTheme="minorEastAsia" w:hAnsiTheme="minorEastAsia" w:eastAsiaTheme="minorEastAsia"/>
                <w:sz w:val="16"/>
                <w:szCs w:val="16"/>
              </w:rPr>
            </w:pPr>
            <w:r>
              <w:rPr>
                <w:rFonts w:hint="eastAsia" w:ascii="微软雅黑" w:hAnsi="微软雅黑" w:eastAsia="微软雅黑" w:cs="微软雅黑"/>
                <w:color w:val="000000"/>
                <w:kern w:val="2"/>
                <w:sz w:val="18"/>
                <w:szCs w:val="18"/>
                <w:lang w:val="en-US" w:eastAsia="zh-CN" w:bidi="ar"/>
              </w:rPr>
              <w:t>5）现有技术条件下不可能出现的情形。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03" w:hRule="atLeast"/>
          <w:jc w:val="center"/>
        </w:trPr>
        <w:tc>
          <w:tcPr>
            <w:tcW w:w="75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sz w:val="21"/>
                <w:szCs w:val="21"/>
                <w:lang w:eastAsia="zh-CN"/>
              </w:rPr>
            </w:pPr>
            <w:r>
              <w:rPr>
                <w:rFonts w:hint="eastAsia" w:asciiTheme="minorEastAsia" w:hAnsiTheme="minorEastAsia"/>
                <w:sz w:val="21"/>
                <w:szCs w:val="21"/>
                <w:lang w:val="en-US" w:eastAsia="zh-CN"/>
              </w:rPr>
              <w:t>4</w:t>
            </w:r>
          </w:p>
        </w:tc>
        <w:tc>
          <w:tcPr>
            <w:tcW w:w="546"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sz w:val="21"/>
                <w:szCs w:val="21"/>
                <w:lang w:val="en-US" w:eastAsia="zh-CN"/>
              </w:rPr>
            </w:pPr>
            <w:r>
              <w:rPr>
                <w:rFonts w:hint="eastAsia" w:asciiTheme="minorEastAsia" w:hAnsiTheme="minorEastAsia"/>
                <w:sz w:val="21"/>
                <w:szCs w:val="21"/>
                <w:lang w:val="en-US" w:eastAsia="zh-CN"/>
              </w:rPr>
              <w:t>设计</w:t>
            </w:r>
            <w:r>
              <w:rPr>
                <w:rFonts w:hint="eastAsia" w:asciiTheme="minorEastAsia" w:hAnsiTheme="minorEastAsia" w:eastAsiaTheme="minorEastAsia"/>
                <w:sz w:val="21"/>
                <w:szCs w:val="21"/>
                <w:lang w:val="en-US" w:eastAsia="zh-CN"/>
              </w:rPr>
              <w:t>方案</w:t>
            </w:r>
          </w:p>
        </w:tc>
        <w:tc>
          <w:tcPr>
            <w:tcW w:w="632"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sz w:val="21"/>
                <w:szCs w:val="21"/>
                <w:lang w:val="en-US" w:eastAsia="zh-CN"/>
              </w:rPr>
            </w:pPr>
            <w:r>
              <w:rPr>
                <w:rFonts w:hint="eastAsia" w:asciiTheme="minorEastAsia" w:hAnsiTheme="minorEastAsia"/>
                <w:sz w:val="21"/>
                <w:szCs w:val="21"/>
                <w:lang w:val="en-US" w:eastAsia="zh-CN"/>
              </w:rPr>
              <w:t>20</w:t>
            </w:r>
          </w:p>
        </w:tc>
        <w:tc>
          <w:tcPr>
            <w:tcW w:w="51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0" w:firstLineChars="0"/>
              <w:jc w:val="left"/>
              <w:rPr>
                <w:rFonts w:hint="eastAsia" w:asciiTheme="minorEastAsia" w:hAnsiTheme="minorEastAsia" w:eastAsiaTheme="minorEastAsia" w:cstheme="minorBidi"/>
                <w:sz w:val="21"/>
                <w:szCs w:val="20"/>
                <w:lang w:val="en-US" w:eastAsia="zh-CN"/>
              </w:rPr>
            </w:pPr>
            <w:r>
              <w:rPr>
                <w:rFonts w:hint="eastAsia" w:ascii="微软雅黑" w:hAnsi="微软雅黑" w:eastAsia="微软雅黑" w:cs="微软雅黑"/>
                <w:color w:val="000000"/>
                <w:kern w:val="2"/>
                <w:sz w:val="18"/>
                <w:szCs w:val="18"/>
                <w:lang w:val="en-US" w:eastAsia="zh-CN" w:bidi="ar"/>
              </w:rPr>
              <w:t>投标人为本项目提供项目设计方案，内容包括：1.设计风格及界面效果；2.设计整体理念；3.设计交互体验。评标委员会将根据方案内容的优劣进行排名，排名第一的投标人得20分；排名每向后一位，扣减5分，直至分值扣完为止。未提供方案的投标人，本项得0分。</w:t>
            </w:r>
          </w:p>
        </w:tc>
        <w:tc>
          <w:tcPr>
            <w:tcW w:w="2573" w:type="dxa"/>
            <w:vMerge w:val="continue"/>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sz w:val="16"/>
                <w:szCs w:val="16"/>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5</w:t>
            </w: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cs="宋体" w:asciiTheme="minorEastAsia" w:hAnsiTheme="minorEastAsia" w:eastAsiaTheme="minorEastAsia"/>
                <w:sz w:val="21"/>
                <w:szCs w:val="21"/>
              </w:rPr>
              <w:t>售后服务</w:t>
            </w:r>
          </w:p>
        </w:tc>
        <w:tc>
          <w:tcPr>
            <w:tcW w:w="63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15</w:t>
            </w:r>
          </w:p>
        </w:tc>
        <w:tc>
          <w:tcPr>
            <w:tcW w:w="5199" w:type="dxa"/>
            <w:vAlign w:val="center"/>
          </w:tcPr>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针对质量保证期内的售后服务，在满足本项目招标文件的基础上，投标人提供项目售后服务方案，内容包含：</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1.服务团队组织架构；</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2.售后服务处置流程；</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3.系统维护方案；</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4.投诉管理方案；</w:t>
            </w:r>
          </w:p>
          <w:p>
            <w:pPr>
              <w:keepNext w:val="0"/>
              <w:keepLines w:val="0"/>
              <w:widowControl/>
              <w:suppressLineNumbers w:val="0"/>
              <w:autoSpaceDE w:val="0"/>
              <w:autoSpaceDN/>
              <w:spacing w:before="0" w:beforeAutospacing="0" w:after="0" w:afterAutospacing="0"/>
              <w:ind w:left="0" w:leftChars="0" w:right="0" w:firstLine="0" w:firstLineChars="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color w:val="000000"/>
                <w:kern w:val="2"/>
                <w:sz w:val="18"/>
                <w:szCs w:val="18"/>
                <w:lang w:val="en-US" w:eastAsia="zh-CN" w:bidi="ar"/>
              </w:rPr>
              <w:t>5.培训方案。</w:t>
            </w:r>
          </w:p>
          <w:p>
            <w:pPr>
              <w:keepNext w:val="0"/>
              <w:keepLines w:val="0"/>
              <w:widowControl w:val="0"/>
              <w:suppressLineNumbers w:val="0"/>
              <w:spacing w:before="0" w:beforeAutospacing="0" w:after="0" w:afterAutospacing="0"/>
              <w:ind w:left="0" w:leftChars="0" w:right="0" w:firstLine="0" w:firstLineChars="0"/>
              <w:jc w:val="both"/>
              <w:rPr>
                <w:rFonts w:hint="eastAsia" w:asciiTheme="minorEastAsia" w:hAnsiTheme="minorEastAsia" w:eastAsiaTheme="minorEastAsia"/>
                <w:sz w:val="21"/>
                <w:szCs w:val="20"/>
              </w:rPr>
            </w:pPr>
            <w:r>
              <w:rPr>
                <w:rFonts w:hint="eastAsia" w:ascii="微软雅黑" w:hAnsi="微软雅黑" w:eastAsia="微软雅黑" w:cs="微软雅黑"/>
                <w:color w:val="000000"/>
                <w:kern w:val="2"/>
                <w:sz w:val="18"/>
                <w:szCs w:val="18"/>
                <w:lang w:val="en-US" w:eastAsia="zh-CN" w:bidi="ar"/>
              </w:rPr>
              <w:t>以上方案内容不存在瑕疵得15分；方案内容存在1处瑕疵得10分；方案内容存在2处瑕疵得5分；方案内容存在3处瑕疵得1分；方案内容存在4处及以上瑕疵，或未提供方案，得0分。</w:t>
            </w:r>
          </w:p>
        </w:tc>
        <w:tc>
          <w:tcPr>
            <w:tcW w:w="2573" w:type="dxa"/>
            <w:vMerge w:val="continue"/>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sz w:val="21"/>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75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p>
        </w:tc>
        <w:tc>
          <w:tcPr>
            <w:tcW w:w="5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63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default" w:asciiTheme="minorEastAsia" w:hAnsiTheme="minorEastAsia" w:eastAsiaTheme="minorEastAsia"/>
                <w:sz w:val="21"/>
                <w:szCs w:val="21"/>
              </w:rPr>
              <w:fldChar w:fldCharType="begin"/>
            </w:r>
            <w:r>
              <w:rPr>
                <w:rFonts w:hint="default" w:asciiTheme="minorEastAsia" w:hAnsiTheme="minorEastAsia" w:eastAsiaTheme="minorEastAsia"/>
                <w:sz w:val="21"/>
                <w:szCs w:val="21"/>
              </w:rPr>
              <w:instrText xml:space="preserve"> =SUM(ABOVE) </w:instrText>
            </w:r>
            <w:r>
              <w:rPr>
                <w:rFonts w:hint="default" w:asciiTheme="minorEastAsia" w:hAnsiTheme="minorEastAsia" w:eastAsiaTheme="minorEastAsia"/>
                <w:sz w:val="21"/>
                <w:szCs w:val="21"/>
              </w:rPr>
              <w:fldChar w:fldCharType="separate"/>
            </w:r>
            <w:r>
              <w:rPr>
                <w:rFonts w:hint="default" w:asciiTheme="minorEastAsia" w:hAnsiTheme="minorEastAsia" w:eastAsiaTheme="minorEastAsia"/>
                <w:sz w:val="21"/>
                <w:szCs w:val="21"/>
              </w:rPr>
              <w:t>100</w:t>
            </w:r>
            <w:r>
              <w:rPr>
                <w:rFonts w:hint="default" w:asciiTheme="minorEastAsia" w:hAnsiTheme="minorEastAsia" w:eastAsiaTheme="minorEastAsia"/>
                <w:sz w:val="21"/>
                <w:szCs w:val="21"/>
              </w:rPr>
              <w:fldChar w:fldCharType="end"/>
            </w:r>
          </w:p>
        </w:tc>
        <w:tc>
          <w:tcPr>
            <w:tcW w:w="5199"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sz w:val="21"/>
                <w:szCs w:val="21"/>
              </w:rPr>
            </w:pPr>
          </w:p>
        </w:tc>
        <w:tc>
          <w:tcPr>
            <w:tcW w:w="2573"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E0541"/>
    <w:rsid w:val="34AE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17"/>
    <w:basedOn w:val="5"/>
    <w:qFormat/>
    <w:uiPriority w:val="0"/>
    <w:rPr>
      <w:rFonts w:hint="eastAsia" w:ascii="宋体" w:hAnsi="宋体" w:eastAsia="宋体" w:cs="宋体"/>
      <w:color w:val="000000"/>
      <w:sz w:val="22"/>
      <w:szCs w:val="22"/>
    </w:rPr>
  </w:style>
  <w:style w:type="character" w:customStyle="1" w:styleId="7">
    <w:name w:val="16"/>
    <w:basedOn w:val="5"/>
    <w:qFormat/>
    <w:uiPriority w:val="0"/>
    <w:rPr>
      <w:rFonts w:hint="eastAsia" w:ascii="宋体" w:hAnsi="宋体" w:eastAsia="宋体" w:cs="宋体"/>
      <w:color w:val="FF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2026-07-09T08:15:00Z</dcterms:created>
  <dc:creator>王俊</dc:creator>
  <cp:lastModifiedBy>王俊</cp:lastModifiedBy>
  <dcterms:modified xsi:type="dcterms:W3CDTF">2026-07-09T08:17:56Z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