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内图阅读小程序建设参数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一、基本</w:t>
      </w:r>
      <w:r>
        <w:rPr>
          <w:rFonts w:hint="eastAsia" w:ascii="黑体" w:hAnsi="黑体" w:eastAsia="黑体" w:cs="黑体"/>
          <w:color w:val="auto"/>
          <w:sz w:val="22"/>
          <w:szCs w:val="22"/>
        </w:rPr>
        <w:t>功能</w:t>
      </w: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轮播banner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1.支持内部活动跳入，设置数字资源跳入入口。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2.支持后台设置顺序。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3.支持后台设置撤销、发布。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4.支持填写外部链接，需要外部链接配置小程序域名。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数字资源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1.支持快捷收纳，可以填写封面、资源名称、链接。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2.支持按类区分。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3.支持发布、撤销、删除。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4.支持排序。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5.支持点击量统计。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6.支持自动根据数字资源生成的新书上架。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7.支持自动根据数字资源生成热门借阅。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8.支持根据用户阅读历史生成个性化指南。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书籍检索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1.支持多维度检索书籍，可按照书名、作者、ISBN、分类、关键词检索。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2.馆藏书支持显示馆藏书籍详情，包含书籍信息、条码号、索书号、所属馆、所在馆、所在地等信息。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3.支持显示馆藏书的借阅状态。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4.支持自动生成热门检索，并且按标签显示，用户点击热门检索标签可以一键检索。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读者证管理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1.支持读者证密码绑定。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2.支持读者证在线办理。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3.支持查看后台办证历史。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4.支持已借书籍续借功能，续借失败给予失败理由。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5.支持读者借阅历史查询。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6.支持欠费查询。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座位预约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1.支持判断用户绑定读者证限制。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2.支持座位自由设置，可以撤回，发布新增。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3.是否签到的设置。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4.支持是否审核的设置。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5.支持是否可以取消的设置。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6.签到方式支持扫码签到，或者出示二维码管理员使用扫码枪扫码。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7.支持封面、标题、简介、标签、地址、联系人、电话、座位数、座位编号前缀、等基本信息设置。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8.支持打卡期限设置，比如可以设置30分钟内必须打卡。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9.支持未按规定时间内打卡，预约座位自动空闲可以被其他用户预约。避免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造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成资源浪费。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10.可以设置提前预约的天数。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11.支持用户同时预约的次数上限，避免一个用户预约多个座位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造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成资源浪费。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12.支持设置每日预约的开始时间，避免读者凌晨抢位置。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13.支持每周为单位的时间循环，每日为最小单位的任意时间段设置。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14.支持特殊事件排班表，遇到不是常规的时间天数，可以单独为某天设置预约时间。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15.支持显示预约人员后台管理，手动帮助签到，签退，违规，excel导出。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16.用户预约支持用表单填写，内部预制了头像、姓名、身份证、性别、年龄、电话、读者证、单位备注等信息。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17.支持座位总览，在一个页面看见各个座位各个设置的时间段的预约状态、签到状态、空闲状态。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18.支持违规上限设置，以及违规后限制其使用时长设置。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19.支持关联积分功能，参加预约可以增加积分。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20.支持线下预约，解决部分手机使用障碍的人员也可以在前台预约座位。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21.支持批量下载座位二维码，方便使用者批量加工座位二维码。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22.支持微信扫码直接签到。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23.支持用户自行取消预约。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24.支持签到定位限制，避免读者在远处作弊签到。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25.支持签到后可以出示凭证。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活动报名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1.支持用户报名时绑定的读者证判断。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2.支持长期活动，短期活动区别设置。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3.活动报名支持活动名额限制。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4.报名的活动，支持用表单填写，内部预制了头像、姓名、身份证、性别、年龄、电话、读者证、单位、学校、年级、班级、微信、备注等信息。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5.支持报名审核，拒绝可附带拒绝理由。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6.支持无需报名，但是需要打卡进场统计参与活动人员的流程。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7.支持无需报名，点击跳转第三方网页宣传功能。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8.报名的活动，支持签到打卡入场功能；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9.签到入场支持用户主动扫码或者管理员使用扫码器扫码2种形式；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10.支持报名次数限制，防止用户报名后取消再报名恶意操作；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11.活动支持类型区分、标签区分。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12.活动支持标签、封面、文本简介、地址、联系人、姓名、电话、年龄、举行时间、报名时间显示。若无需报名，支持第三方链接嵌入。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13.支持报名人员信息导出，支持单场导出或者所有人员同时导出。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14.活动随时支持撤回、发布。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15.活动人员支持后台手动签到。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16.支持关联积分功能，按时（活动开启前2小时打卡）、迟到（活动开启后打卡）、未签到分别计算不同积分。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17.未签到支持自动违规。可设置违规一定次数冻结其使用此功能一定时间。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18.支持该活动分享二维码生成下载。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19.支持签到二维码生成下载。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20.支持复制活动。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21.支持按日历形式看那些活动开始日期。可跳转指定日期查看活动情况。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22.支持显示本月活动清单。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23.支持按类型查看举行的活动。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24.支持活动分享，活动一键报名。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25.支持用户自行取消报名。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26.支持报名活动历史显示。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27.支持微信扫码直接签到。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图书荐购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1.支持用户扫ISBN自动识别书籍信息，用户可以避免手动输入一键推荐。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2.支持批量审核。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3.支持按荐购次数统计，图书馆可以根据此信息安排书籍采购。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4.支持拒绝，并且可以填写拒绝理由。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5.支持excel导出荐购书籍，方便购买时候信息核对。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6.支持购买失败，并且填写失败理由。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7.支持数据筛选，待审核、待购买等各个状态。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服务指南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1.支持多角度显示馆内信息，支持本馆概况、开馆时间、入馆须知、读者须知、办证指南、馆内导航、分馆服务、交通指南、联系图书馆。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2.支持图文混合显示。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3.支持修改编辑。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积分管理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1.支持自由设置活动积分，活动报名的积分分值。支持关闭某项活动积分获取渠道。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2.支持参加活动每日的次数上限。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3.支持查看每个用户的积分明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细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4.用户可以每日签到获得积分。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5.支持管理员手动设置用户的积分。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1.支持用户手机端申请为志愿者。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2.志愿者申请需要填写服务意向、服务时间、姓名、电话、年龄、性别、专业等基本信息采集。所有信息可以自由设置选填还是必填。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3.支持自由设置志愿者须知。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4.支持开始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关闭志愿者申请渠道，支持是否必须为绑定读者证的读者才能申请。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5.支持后台审核志愿者，若不通过支持设置拒绝理由。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6.后台支持服务意向和服务时间的设置。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7.申请通过后，进入志愿者服务人才库，可以通过筛选服务意向和服务时间，快速的筛选出满足条件的志愿者。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8.支持手动设置服务时长，可以excel导出。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数据分析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1.统计平台访问量，可以按年、月筛选。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2.支持统计数字资源的点击量。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3.支持活动数量统计，包含活动参与人数和活动数量。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黑体" w:hAnsi="黑体" w:eastAsia="黑体" w:cs="黑体"/>
          <w:color w:val="auto"/>
          <w:sz w:val="22"/>
          <w:szCs w:val="22"/>
        </w:rPr>
      </w:pP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22"/>
          <w:szCs w:val="22"/>
        </w:rPr>
        <w:t>、技术</w:t>
      </w: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  <w:t>（一）技术架构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前端：微信小程序原生开发（WXML/WXSS/JS），兼容低版本，体验流畅。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后端：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PHP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，RESTful API 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数据库：MySQL（用户、借阅、预约、日志）。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中间件：Redis 缓存、消息队列、文件存储。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部署：腾讯云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阿里云轻量应用服务器，SSL加密，HTTPS 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  <w:t>（二）对接集成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对接图书馆集成管理系统：实现馆藏、借阅、续借、读者证数据互通。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对接微信服务平台：用户体系、消息、公告、资源统一。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对接数字资源平台：电子书、有声书、期刊授权与访问。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对接微信支付（可选）：押金、欠费补缴（公益为主，按需开通）。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  <w:t>（三）安全与合规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用户信息加密存储，隐私政策合规。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接口鉴权、防刷、防越权。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定期备份、日志审计、异常监控。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满足公共文化服务数据安全要求。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81440"/>
    <w:rsid w:val="563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2026-07-09T08:12:00Z</dcterms:created>
  <dc:creator>王俊</dc:creator>
  <cp:lastModifiedBy>王俊</cp:lastModifiedBy>
  <dcterms:modified xsi:type="dcterms:W3CDTF">2026-07-09T08:15:13Z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